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8374" w14:textId="790E81B8" w:rsidR="009141D4" w:rsidRDefault="00195A33" w:rsidP="00915AD8">
      <w:pPr>
        <w:pStyle w:val="Heading1"/>
        <w:jc w:val="both"/>
      </w:pPr>
      <w:r>
        <w:t>Purchasing and Accessing Your Practice Exams via GMetrix</w:t>
      </w:r>
    </w:p>
    <w:p w14:paraId="3C937717" w14:textId="4C48280C" w:rsidR="00195A33" w:rsidRDefault="00195A33" w:rsidP="00915AD8">
      <w:pPr>
        <w:pStyle w:val="Heading2"/>
        <w:jc w:val="both"/>
      </w:pPr>
      <w:r>
        <w:t>Steps for Purchasing</w:t>
      </w:r>
    </w:p>
    <w:p w14:paraId="122223E4" w14:textId="1841F767" w:rsidR="00195A33" w:rsidRDefault="00195A33" w:rsidP="00915AD8">
      <w:pPr>
        <w:pStyle w:val="ListParagraph"/>
        <w:numPr>
          <w:ilvl w:val="0"/>
          <w:numId w:val="1"/>
        </w:numPr>
        <w:jc w:val="both"/>
      </w:pPr>
      <w:r>
        <w:t>Navigate to one of the links below to access the purchase page.</w:t>
      </w:r>
    </w:p>
    <w:p w14:paraId="3A438DE1" w14:textId="524E8237" w:rsidR="00195A33" w:rsidRDefault="00195A33" w:rsidP="00915AD8">
      <w:pPr>
        <w:pStyle w:val="ListParagraph"/>
        <w:numPr>
          <w:ilvl w:val="1"/>
          <w:numId w:val="1"/>
        </w:numPr>
        <w:jc w:val="both"/>
      </w:pPr>
      <w:r>
        <w:t xml:space="preserve">For CAPA: </w:t>
      </w:r>
      <w:hyperlink r:id="rId5" w:history="1">
        <w:r w:rsidRPr="000204D9">
          <w:rPr>
            <w:rStyle w:val="Hyperlink"/>
          </w:rPr>
          <w:t>https://www.gmetrix.com/Products/Details/ABPANC-CAPA</w:t>
        </w:r>
      </w:hyperlink>
      <w:r>
        <w:t xml:space="preserve"> </w:t>
      </w:r>
    </w:p>
    <w:p w14:paraId="19C5F3D8" w14:textId="4E63B91D" w:rsidR="00195A33" w:rsidRDefault="00195A33" w:rsidP="00915AD8">
      <w:pPr>
        <w:pStyle w:val="ListParagraph"/>
        <w:numPr>
          <w:ilvl w:val="1"/>
          <w:numId w:val="1"/>
        </w:numPr>
        <w:jc w:val="both"/>
      </w:pPr>
      <w:r>
        <w:t xml:space="preserve">For CPAN: </w:t>
      </w:r>
      <w:hyperlink r:id="rId6" w:history="1">
        <w:r w:rsidRPr="000204D9">
          <w:rPr>
            <w:rStyle w:val="Hyperlink"/>
          </w:rPr>
          <w:t>https://www.gmetrix.com/Products/Details/ABPANC-CPAN</w:t>
        </w:r>
      </w:hyperlink>
    </w:p>
    <w:p w14:paraId="1540EBF2" w14:textId="77777777" w:rsidR="00195A33" w:rsidRDefault="00195A33" w:rsidP="00915AD8">
      <w:pPr>
        <w:pStyle w:val="ListParagraph"/>
        <w:numPr>
          <w:ilvl w:val="0"/>
          <w:numId w:val="1"/>
        </w:numPr>
        <w:jc w:val="both"/>
      </w:pPr>
      <w:r>
        <w:t xml:space="preserve">Click the </w:t>
      </w:r>
      <w:r>
        <w:rPr>
          <w:b/>
          <w:bCs/>
        </w:rPr>
        <w:t xml:space="preserve">Add to Cart </w:t>
      </w:r>
      <w:r>
        <w:t xml:space="preserve">link </w:t>
      </w:r>
    </w:p>
    <w:p w14:paraId="7B83F24D" w14:textId="77777777" w:rsidR="00195A33" w:rsidRDefault="00195A33" w:rsidP="00915AD8">
      <w:pPr>
        <w:pStyle w:val="ListParagraph"/>
        <w:numPr>
          <w:ilvl w:val="0"/>
          <w:numId w:val="1"/>
        </w:numPr>
        <w:jc w:val="both"/>
      </w:pPr>
      <w:r>
        <w:t xml:space="preserve">Click the </w:t>
      </w:r>
      <w:r>
        <w:rPr>
          <w:b/>
          <w:bCs/>
        </w:rPr>
        <w:t xml:space="preserve">Login </w:t>
      </w:r>
      <w:r>
        <w:t>button at the top-right corner of the page</w:t>
      </w:r>
    </w:p>
    <w:p w14:paraId="1B6A151B" w14:textId="7257DB99" w:rsidR="00195A33" w:rsidRDefault="00195A33" w:rsidP="00915AD8">
      <w:pPr>
        <w:pStyle w:val="ListParagraph"/>
        <w:numPr>
          <w:ilvl w:val="0"/>
          <w:numId w:val="1"/>
        </w:numPr>
        <w:jc w:val="both"/>
      </w:pPr>
      <w:r>
        <w:t xml:space="preserve">If you don’t have an account yet, click the </w:t>
      </w:r>
      <w:r>
        <w:rPr>
          <w:b/>
          <w:bCs/>
        </w:rPr>
        <w:t xml:space="preserve">Sign up here! </w:t>
      </w:r>
      <w:r>
        <w:t>Link at the bottom of the page. Otherwise, log in to your GMetrix account.</w:t>
      </w:r>
    </w:p>
    <w:p w14:paraId="70595922" w14:textId="35E83451" w:rsidR="00195A33" w:rsidRDefault="00195A33" w:rsidP="00915AD8">
      <w:pPr>
        <w:pStyle w:val="ListParagraph"/>
        <w:numPr>
          <w:ilvl w:val="0"/>
          <w:numId w:val="1"/>
        </w:numPr>
        <w:jc w:val="both"/>
      </w:pPr>
      <w:r>
        <w:t>Once logged in, navigate to your cart by clicking the icon at the top-right corner of the screen</w:t>
      </w:r>
    </w:p>
    <w:p w14:paraId="282BDDF8" w14:textId="7C8BB6C7" w:rsidR="00195A33" w:rsidRDefault="00195A33" w:rsidP="00915AD8">
      <w:pPr>
        <w:pStyle w:val="ListParagraph"/>
        <w:numPr>
          <w:ilvl w:val="0"/>
          <w:numId w:val="1"/>
        </w:numPr>
        <w:jc w:val="both"/>
      </w:pPr>
      <w:r>
        <w:t xml:space="preserve">Enter your billing information and click </w:t>
      </w:r>
      <w:r>
        <w:rPr>
          <w:b/>
          <w:bCs/>
        </w:rPr>
        <w:t>Review your Order</w:t>
      </w:r>
      <w:r>
        <w:t>.</w:t>
      </w:r>
    </w:p>
    <w:p w14:paraId="36479DB8" w14:textId="18DE31B6" w:rsidR="00195A33" w:rsidRDefault="00195A33" w:rsidP="00915AD8">
      <w:pPr>
        <w:pStyle w:val="ListParagraph"/>
        <w:numPr>
          <w:ilvl w:val="0"/>
          <w:numId w:val="1"/>
        </w:numPr>
        <w:jc w:val="both"/>
      </w:pPr>
      <w:r>
        <w:t>Confirm your purchase and you will be taken to your account page.</w:t>
      </w:r>
    </w:p>
    <w:p w14:paraId="1F25C04D" w14:textId="683E21D8" w:rsidR="00195A33" w:rsidRDefault="00E44683" w:rsidP="00915AD8">
      <w:pPr>
        <w:pStyle w:val="ListParagraph"/>
        <w:numPr>
          <w:ilvl w:val="1"/>
          <w:numId w:val="1"/>
        </w:numPr>
        <w:jc w:val="both"/>
      </w:pPr>
      <w:r w:rsidRPr="00E44683">
        <w:rPr>
          <w:noProof/>
        </w:rPr>
        <w:drawing>
          <wp:anchor distT="0" distB="0" distL="114300" distR="114300" simplePos="0" relativeHeight="251658240" behindDoc="0" locked="0" layoutInCell="1" allowOverlap="1" wp14:anchorId="5452D195" wp14:editId="0B0E5A6E">
            <wp:simplePos x="0" y="0"/>
            <wp:positionH relativeFrom="margin">
              <wp:align>right</wp:align>
            </wp:positionH>
            <wp:positionV relativeFrom="paragraph">
              <wp:posOffset>382905</wp:posOffset>
            </wp:positionV>
            <wp:extent cx="5943600" cy="2461260"/>
            <wp:effectExtent l="0" t="0" r="0" b="0"/>
            <wp:wrapSquare wrapText="bothSides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A33">
        <w:t xml:space="preserve">Note: you can access the account page at any time in the future by logging into </w:t>
      </w:r>
      <w:hyperlink r:id="rId8" w:history="1">
        <w:r w:rsidR="00195A33" w:rsidRPr="000204D9">
          <w:rPr>
            <w:rStyle w:val="Hyperlink"/>
          </w:rPr>
          <w:t>www.gmetrix.com</w:t>
        </w:r>
      </w:hyperlink>
      <w:r w:rsidR="00195A33">
        <w:t xml:space="preserve"> and clicking on your name in the upper-right corner</w:t>
      </w:r>
    </w:p>
    <w:p w14:paraId="68DBDF8F" w14:textId="22297B18" w:rsidR="00E44683" w:rsidRDefault="00E44683" w:rsidP="00915AD8">
      <w:pPr>
        <w:pStyle w:val="ListParagraph"/>
        <w:jc w:val="both"/>
      </w:pPr>
    </w:p>
    <w:p w14:paraId="0F84B9CC" w14:textId="05BCE508" w:rsidR="00195A33" w:rsidRDefault="00195A33" w:rsidP="00915AD8">
      <w:pPr>
        <w:pStyle w:val="ListParagraph"/>
        <w:numPr>
          <w:ilvl w:val="0"/>
          <w:numId w:val="1"/>
        </w:numPr>
        <w:jc w:val="both"/>
      </w:pPr>
      <w:r>
        <w:t xml:space="preserve">Copy the </w:t>
      </w:r>
      <w:r>
        <w:rPr>
          <w:b/>
          <w:bCs/>
        </w:rPr>
        <w:t xml:space="preserve">Access Code </w:t>
      </w:r>
      <w:r>
        <w:t>from the table at the bottom of the page. You will need to redeem it momentarily.</w:t>
      </w:r>
    </w:p>
    <w:p w14:paraId="2FB1F115" w14:textId="4CAA06C1" w:rsidR="00E44683" w:rsidRDefault="00E44683" w:rsidP="00915AD8">
      <w:pPr>
        <w:pStyle w:val="ListParagraph"/>
        <w:numPr>
          <w:ilvl w:val="0"/>
          <w:numId w:val="1"/>
        </w:numPr>
        <w:jc w:val="both"/>
      </w:pPr>
      <w:r>
        <w:t xml:space="preserve">Navigate to </w:t>
      </w:r>
      <w:hyperlink r:id="rId9" w:history="1">
        <w:r w:rsidRPr="000204D9">
          <w:rPr>
            <w:rStyle w:val="Hyperlink"/>
          </w:rPr>
          <w:t>www.gmetrix.net</w:t>
        </w:r>
      </w:hyperlink>
      <w:r>
        <w:t xml:space="preserve"> and log in to your account.</w:t>
      </w:r>
    </w:p>
    <w:p w14:paraId="5E99535B" w14:textId="5961BFBC" w:rsidR="00E44683" w:rsidRDefault="00E44683" w:rsidP="00915AD8">
      <w:pPr>
        <w:pStyle w:val="ListParagraph"/>
        <w:numPr>
          <w:ilvl w:val="0"/>
          <w:numId w:val="1"/>
        </w:numPr>
        <w:jc w:val="both"/>
      </w:pPr>
      <w:r>
        <w:t>You will be prompted to enter an Access Code on the dashboard. Paste the code you received on your gmetrix.com account page and click Redeem.</w:t>
      </w:r>
    </w:p>
    <w:p w14:paraId="0478F980" w14:textId="72B3EB72" w:rsidR="00E44683" w:rsidRDefault="00E44683" w:rsidP="00915AD8">
      <w:pPr>
        <w:pStyle w:val="ListParagraph"/>
        <w:numPr>
          <w:ilvl w:val="1"/>
          <w:numId w:val="1"/>
        </w:numPr>
        <w:jc w:val="both"/>
      </w:pPr>
      <w:r w:rsidRPr="00E44683">
        <w:rPr>
          <w:noProof/>
        </w:rPr>
        <w:drawing>
          <wp:anchor distT="0" distB="0" distL="114300" distR="114300" simplePos="0" relativeHeight="251659264" behindDoc="0" locked="0" layoutInCell="1" allowOverlap="1" wp14:anchorId="61689B27" wp14:editId="4A27ACDB">
            <wp:simplePos x="0" y="0"/>
            <wp:positionH relativeFrom="margin">
              <wp:posOffset>2695575</wp:posOffset>
            </wp:positionH>
            <wp:positionV relativeFrom="paragraph">
              <wp:posOffset>6350</wp:posOffset>
            </wp:positionV>
            <wp:extent cx="3000375" cy="1610995"/>
            <wp:effectExtent l="0" t="0" r="9525" b="825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You can redeem additional Access Codes in the future by clicking the </w:t>
      </w:r>
      <w:r>
        <w:rPr>
          <w:b/>
          <w:bCs/>
        </w:rPr>
        <w:t xml:space="preserve">Redeem </w:t>
      </w:r>
      <w:r>
        <w:t>option in the left navigation menu</w:t>
      </w:r>
    </w:p>
    <w:p w14:paraId="7B5C6687" w14:textId="407ADFEB" w:rsidR="00E44683" w:rsidRDefault="00E44683" w:rsidP="00915AD8">
      <w:pPr>
        <w:jc w:val="both"/>
      </w:pPr>
      <w:r>
        <w:br w:type="page"/>
      </w:r>
    </w:p>
    <w:p w14:paraId="44ECFE2E" w14:textId="61E1F101" w:rsidR="00E44683" w:rsidRDefault="00E44683" w:rsidP="00915AD8">
      <w:pPr>
        <w:pStyle w:val="Heading2"/>
        <w:jc w:val="both"/>
      </w:pPr>
      <w:r>
        <w:lastRenderedPageBreak/>
        <w:t>Accessing Your Practice Exams</w:t>
      </w:r>
      <w:r w:rsidR="00E10F9A">
        <w:t xml:space="preserve"> </w:t>
      </w:r>
    </w:p>
    <w:p w14:paraId="33E7AA0D" w14:textId="70DE3413" w:rsidR="00E10F9A" w:rsidRPr="00E10F9A" w:rsidRDefault="00E10F9A" w:rsidP="00915AD8">
      <w:pPr>
        <w:pStyle w:val="Heading3"/>
        <w:jc w:val="both"/>
      </w:pPr>
      <w:r>
        <w:t>Getting Your Certificate</w:t>
      </w:r>
    </w:p>
    <w:p w14:paraId="2162BE69" w14:textId="77777777" w:rsidR="00E10F9A" w:rsidRDefault="00E44683" w:rsidP="00915AD8">
      <w:pPr>
        <w:jc w:val="both"/>
        <w:rPr>
          <w:bCs/>
        </w:rPr>
      </w:pPr>
      <w:r>
        <w:t xml:space="preserve">You will be able to access your ABPANC practice exams in two ways within the GMetrix system, the Practice Exams Course and the Training Mode Tests. </w:t>
      </w:r>
      <w:proofErr w:type="gramStart"/>
      <w:r>
        <w:t>In order to</w:t>
      </w:r>
      <w:proofErr w:type="gramEnd"/>
      <w:r>
        <w:t xml:space="preserve"> obtain your Certificate of Completion, you will need to complete the </w:t>
      </w:r>
      <w:r>
        <w:rPr>
          <w:b/>
          <w:bCs/>
        </w:rPr>
        <w:t>CAPA/CPAN</w:t>
      </w:r>
      <w:r>
        <w:t xml:space="preserve"> </w:t>
      </w:r>
      <w:r w:rsidRPr="00E44683">
        <w:rPr>
          <w:b/>
          <w:bCs/>
        </w:rPr>
        <w:t>Practice Exams Course</w:t>
      </w:r>
      <w:r>
        <w:t xml:space="preserve"> within the system. </w:t>
      </w:r>
      <w:r w:rsidR="00E10F9A">
        <w:t xml:space="preserve">You can access the course by selecting </w:t>
      </w:r>
      <w:r w:rsidR="00E10F9A">
        <w:rPr>
          <w:b/>
          <w:bCs/>
        </w:rPr>
        <w:t xml:space="preserve">Courses </w:t>
      </w:r>
      <w:r w:rsidR="00E10F9A">
        <w:rPr>
          <w:bCs/>
        </w:rPr>
        <w:t xml:space="preserve">from the left navigation menu and locating it on the </w:t>
      </w:r>
      <w:r w:rsidR="00E10F9A">
        <w:rPr>
          <w:b/>
        </w:rPr>
        <w:t xml:space="preserve">Select a Course </w:t>
      </w:r>
      <w:r w:rsidR="00E10F9A">
        <w:rPr>
          <w:bCs/>
        </w:rPr>
        <w:t>page.</w:t>
      </w:r>
    </w:p>
    <w:p w14:paraId="40E0A6C3" w14:textId="6394D680" w:rsidR="00E10F9A" w:rsidRPr="00E10F9A" w:rsidRDefault="00E10F9A" w:rsidP="00915AD8">
      <w:pPr>
        <w:jc w:val="both"/>
        <w:rPr>
          <w:bCs/>
        </w:rPr>
      </w:pPr>
      <w:r w:rsidRPr="00E10F9A">
        <w:rPr>
          <w:bCs/>
          <w:noProof/>
        </w:rPr>
        <w:drawing>
          <wp:inline distT="0" distB="0" distL="0" distR="0" wp14:anchorId="5FF5E9B4" wp14:editId="31B832C3">
            <wp:extent cx="5943600" cy="2617470"/>
            <wp:effectExtent l="0" t="0" r="0" b="0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</w:t>
      </w:r>
    </w:p>
    <w:p w14:paraId="6346FF2A" w14:textId="0CBBAFDA" w:rsidR="00E44683" w:rsidRDefault="00E44683" w:rsidP="00915AD8">
      <w:pPr>
        <w:jc w:val="both"/>
      </w:pPr>
      <w:r>
        <w:t xml:space="preserve">This course requires that you complete all four practice exams within the time limit provided with a score of at least 75%. Once all four exams have been completed, you will need to complete the </w:t>
      </w:r>
      <w:r>
        <w:rPr>
          <w:b/>
          <w:bCs/>
        </w:rPr>
        <w:t xml:space="preserve">ABPANC End of Program Survey </w:t>
      </w:r>
      <w:r>
        <w:t xml:space="preserve">and sign an attestation that you have fully completed the survey. Once this is done, </w:t>
      </w:r>
      <w:r w:rsidR="00E10F9A">
        <w:t xml:space="preserve">the </w:t>
      </w:r>
      <w:r w:rsidR="00E10F9A">
        <w:rPr>
          <w:b/>
          <w:bCs/>
        </w:rPr>
        <w:t xml:space="preserve">Certificate </w:t>
      </w:r>
      <w:r w:rsidR="00E10F9A">
        <w:t xml:space="preserve">icon at the top of the page will be unlocked and you will be able to view and print your certificate of completion. </w:t>
      </w:r>
    </w:p>
    <w:p w14:paraId="1755F69F" w14:textId="6A09D611" w:rsidR="00E10F9A" w:rsidRDefault="00E10F9A" w:rsidP="00915AD8">
      <w:pPr>
        <w:pStyle w:val="Heading3"/>
        <w:jc w:val="both"/>
      </w:pPr>
      <w:r>
        <w:t>Studying with Training Mode</w:t>
      </w:r>
    </w:p>
    <w:p w14:paraId="16662C09" w14:textId="2FF0C362" w:rsidR="00E10F9A" w:rsidRDefault="00E10F9A" w:rsidP="00915AD8">
      <w:pPr>
        <w:jc w:val="both"/>
      </w:pPr>
      <w:r>
        <w:t xml:space="preserve">If you’re having difficulty passing your course practice exams, you can also utilize </w:t>
      </w:r>
      <w:r>
        <w:rPr>
          <w:b/>
          <w:bCs/>
        </w:rPr>
        <w:t xml:space="preserve">Training Mode </w:t>
      </w:r>
      <w:r>
        <w:t xml:space="preserve">to help you review. To access the Training Mode practice exams, select the </w:t>
      </w:r>
      <w:r>
        <w:rPr>
          <w:b/>
          <w:bCs/>
        </w:rPr>
        <w:t xml:space="preserve">Start New Test </w:t>
      </w:r>
      <w:r>
        <w:t xml:space="preserve">button from the left navigation menu. From here, you will select the </w:t>
      </w:r>
      <w:r>
        <w:rPr>
          <w:b/>
          <w:bCs/>
        </w:rPr>
        <w:t xml:space="preserve">ABPANC </w:t>
      </w:r>
      <w:r>
        <w:t xml:space="preserve">category and then choose either </w:t>
      </w:r>
      <w:r>
        <w:rPr>
          <w:b/>
          <w:bCs/>
        </w:rPr>
        <w:t xml:space="preserve">CAPA </w:t>
      </w:r>
      <w:r>
        <w:t xml:space="preserve">or </w:t>
      </w:r>
      <w:r>
        <w:rPr>
          <w:b/>
          <w:bCs/>
        </w:rPr>
        <w:t>CPAN</w:t>
      </w:r>
      <w:r>
        <w:t>. This will provide you with a list of which practice exam you’d like to attempt.</w:t>
      </w:r>
    </w:p>
    <w:p w14:paraId="42844AB6" w14:textId="1944E752" w:rsidR="00E10F9A" w:rsidRDefault="00E10F9A" w:rsidP="00915AD8">
      <w:pPr>
        <w:jc w:val="both"/>
      </w:pPr>
      <w:r w:rsidRPr="00E10F9A">
        <w:rPr>
          <w:noProof/>
        </w:rPr>
        <w:drawing>
          <wp:inline distT="0" distB="0" distL="0" distR="0" wp14:anchorId="45A7A1CC" wp14:editId="58AA5327">
            <wp:extent cx="5067300" cy="2133572"/>
            <wp:effectExtent l="0" t="0" r="0" b="635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7779" cy="213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FAB4" w14:textId="3A969285" w:rsidR="00E10F9A" w:rsidRPr="00E10F9A" w:rsidRDefault="00E10F9A" w:rsidP="00915AD8">
      <w:pPr>
        <w:jc w:val="both"/>
      </w:pPr>
      <w:r w:rsidRPr="00E10F9A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CB1FED1" wp14:editId="195005B5">
            <wp:simplePos x="0" y="0"/>
            <wp:positionH relativeFrom="column">
              <wp:posOffset>9525</wp:posOffset>
            </wp:positionH>
            <wp:positionV relativeFrom="paragraph">
              <wp:posOffset>618490</wp:posOffset>
            </wp:positionV>
            <wp:extent cx="5365750" cy="1952625"/>
            <wp:effectExtent l="0" t="0" r="6350" b="9525"/>
            <wp:wrapSquare wrapText="bothSides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 Training Mode, you will get feedback between each question indicating whether you answered correctly as well as what the correct answer is. You can use this mode to review </w:t>
      </w:r>
      <w:proofErr w:type="gramStart"/>
      <w:r>
        <w:t>all of</w:t>
      </w:r>
      <w:proofErr w:type="gramEnd"/>
      <w:r>
        <w:t xml:space="preserve"> the questions in the practice exam before making another attempt. </w:t>
      </w:r>
    </w:p>
    <w:p w14:paraId="693B7665" w14:textId="0321EA70" w:rsidR="00E10F9A" w:rsidRDefault="00E10F9A" w:rsidP="00915AD8">
      <w:pPr>
        <w:jc w:val="both"/>
      </w:pPr>
    </w:p>
    <w:p w14:paraId="13977840" w14:textId="77777777" w:rsidR="00E10F9A" w:rsidRDefault="00E10F9A" w:rsidP="00915AD8">
      <w:pPr>
        <w:pStyle w:val="Heading3"/>
        <w:jc w:val="both"/>
      </w:pPr>
    </w:p>
    <w:p w14:paraId="472B6C7B" w14:textId="2DF7B996" w:rsidR="00E10F9A" w:rsidRDefault="00E10F9A" w:rsidP="00915AD8">
      <w:pPr>
        <w:pStyle w:val="Heading3"/>
        <w:jc w:val="both"/>
      </w:pPr>
      <w:r>
        <w:t>Viewing Past Test Attempts and Reviewing Missed Questions</w:t>
      </w:r>
    </w:p>
    <w:p w14:paraId="03A58511" w14:textId="5F6E46B0" w:rsidR="00E10F9A" w:rsidRDefault="00E10F9A" w:rsidP="00915AD8">
      <w:pPr>
        <w:jc w:val="both"/>
      </w:pPr>
      <w:r>
        <w:t xml:space="preserve">You can review all past test attempts you have made, either in the Course or in Training Mode, by selecting the </w:t>
      </w:r>
      <w:r>
        <w:rPr>
          <w:b/>
          <w:bCs/>
        </w:rPr>
        <w:t xml:space="preserve">Tests &gt; Completed Tests </w:t>
      </w:r>
      <w:r>
        <w:t>item from the left navigation menu.</w:t>
      </w:r>
    </w:p>
    <w:p w14:paraId="249AAAB3" w14:textId="5DFFCE2E" w:rsidR="00E10F9A" w:rsidRDefault="00E10F9A" w:rsidP="00915AD8">
      <w:pPr>
        <w:jc w:val="both"/>
      </w:pPr>
      <w:r w:rsidRPr="00E10F9A">
        <w:rPr>
          <w:noProof/>
        </w:rPr>
        <w:drawing>
          <wp:inline distT="0" distB="0" distL="0" distR="0" wp14:anchorId="1CB3B5EB" wp14:editId="73605B80">
            <wp:extent cx="5305425" cy="1748636"/>
            <wp:effectExtent l="0" t="0" r="0" b="444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3118" cy="175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A2A3" w14:textId="6556DAD5" w:rsidR="00E10F9A" w:rsidRDefault="00E10F9A" w:rsidP="00915AD8">
      <w:pPr>
        <w:jc w:val="both"/>
      </w:pPr>
      <w:r>
        <w:t xml:space="preserve">Here you can view a score report of how you did on the test, which questions were missed, and how you performed in each exam objective. </w:t>
      </w:r>
    </w:p>
    <w:p w14:paraId="5015F7BE" w14:textId="34ECF10A" w:rsidR="00E10F9A" w:rsidRDefault="00E10F9A" w:rsidP="00915AD8">
      <w:pPr>
        <w:jc w:val="both"/>
      </w:pPr>
      <w:r w:rsidRPr="00E10F9A">
        <w:rPr>
          <w:noProof/>
        </w:rPr>
        <w:drawing>
          <wp:inline distT="0" distB="0" distL="0" distR="0" wp14:anchorId="18722542" wp14:editId="12669429">
            <wp:extent cx="5067300" cy="2146023"/>
            <wp:effectExtent l="0" t="0" r="0" b="6985"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0623" cy="21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7D28C" w14:textId="3F7F828C" w:rsidR="00E10F9A" w:rsidRPr="00E10F9A" w:rsidRDefault="00E10F9A" w:rsidP="00915AD8">
      <w:pPr>
        <w:jc w:val="both"/>
      </w:pPr>
      <w:r>
        <w:lastRenderedPageBreak/>
        <w:t xml:space="preserve">You can also select the </w:t>
      </w:r>
      <w:r>
        <w:rPr>
          <w:b/>
          <w:bCs/>
        </w:rPr>
        <w:t xml:space="preserve">Review Missed Questions </w:t>
      </w:r>
      <w:r>
        <w:t xml:space="preserve">button to quickly launch a Training Mode test that includes </w:t>
      </w:r>
      <w:proofErr w:type="gramStart"/>
      <w:r>
        <w:t>all of</w:t>
      </w:r>
      <w:proofErr w:type="gramEnd"/>
      <w:r>
        <w:t xml:space="preserve"> the questions you missed on that test attempt. This is a particularly good way to review the specific questions you may have struggled with when attempting to complete your Course.</w:t>
      </w:r>
    </w:p>
    <w:sectPr w:rsidR="00E10F9A" w:rsidRPr="00E10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6C2B"/>
    <w:multiLevelType w:val="hybridMultilevel"/>
    <w:tmpl w:val="3722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33"/>
    <w:rsid w:val="00195A33"/>
    <w:rsid w:val="003D0355"/>
    <w:rsid w:val="00915AD8"/>
    <w:rsid w:val="00A912D7"/>
    <w:rsid w:val="00B7116E"/>
    <w:rsid w:val="00E10F9A"/>
    <w:rsid w:val="00E4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0DC0"/>
  <w15:chartTrackingRefBased/>
  <w15:docId w15:val="{BA9B8477-3917-4A8B-806F-169E7A41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F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5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A3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5A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F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etrix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metrix.com/Products/Details/ABPANC-CPAN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gmetrix.com/Products/Details/ABPANC-CAPA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metrix.ne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Quaid Atkinson</dc:creator>
  <cp:keywords/>
  <dc:description/>
  <cp:lastModifiedBy>Shelly Pfenninger</cp:lastModifiedBy>
  <cp:revision>2</cp:revision>
  <dcterms:created xsi:type="dcterms:W3CDTF">2021-12-20T17:14:00Z</dcterms:created>
  <dcterms:modified xsi:type="dcterms:W3CDTF">2021-12-20T17:14:00Z</dcterms:modified>
</cp:coreProperties>
</file>